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F2E1" w14:textId="6AE9FEAA" w:rsidR="0011057E" w:rsidRPr="0011057E" w:rsidRDefault="0011057E" w:rsidP="0011057E">
      <w:pPr>
        <w:rPr>
          <w:rFonts w:ascii="bookman old style" w:hAnsi="bookman old style"/>
          <w:b/>
          <w:bCs/>
        </w:rPr>
      </w:pPr>
      <w:r w:rsidRPr="0011057E">
        <w:rPr>
          <w:rFonts w:ascii="bookman old style" w:hAnsi="bookman old style"/>
          <w:b/>
          <w:bCs/>
        </w:rPr>
        <w:t>MARK SCHMIDT</w:t>
      </w:r>
    </w:p>
    <w:p w14:paraId="5E46E13E" w14:textId="77777777" w:rsidR="0011057E" w:rsidRPr="0011057E" w:rsidRDefault="0011057E" w:rsidP="0011057E">
      <w:pPr>
        <w:rPr>
          <w:rFonts w:ascii="bookman old style" w:hAnsi="bookman old style"/>
        </w:rPr>
      </w:pPr>
    </w:p>
    <w:p w14:paraId="32179C0A" w14:textId="156F6DDF" w:rsidR="00462249" w:rsidRPr="0011057E" w:rsidRDefault="0011057E" w:rsidP="00297F21">
      <w:pPr>
        <w:rPr>
          <w:rFonts w:ascii="bookman old style" w:hAnsi="bookman old style"/>
        </w:rPr>
      </w:pPr>
      <w:r w:rsidRPr="0011057E">
        <w:rPr>
          <w:rFonts w:ascii="bookman old style" w:hAnsi="bookman old style"/>
        </w:rPr>
        <w:t>Mark Schmidt, CFA, is an Executive Director</w:t>
      </w:r>
      <w:r w:rsidR="00297F21">
        <w:rPr>
          <w:rFonts w:ascii="bookman old style" w:hAnsi="bookman old style"/>
        </w:rPr>
        <w:t xml:space="preserve"> at Morgan Stanley</w:t>
      </w:r>
      <w:r w:rsidRPr="0011057E">
        <w:rPr>
          <w:rFonts w:ascii="bookman old style" w:hAnsi="bookman old style"/>
        </w:rPr>
        <w:t xml:space="preserve"> and leads Morgan Stanley’s Municipal Strategy Research. He has </w:t>
      </w:r>
      <w:r w:rsidR="00297F21">
        <w:rPr>
          <w:rFonts w:ascii="bookman old style" w:hAnsi="bookman old style"/>
        </w:rPr>
        <w:t>over a decade of</w:t>
      </w:r>
      <w:r w:rsidRPr="0011057E">
        <w:rPr>
          <w:rFonts w:ascii="bookman old style" w:hAnsi="bookman old style"/>
        </w:rPr>
        <w:t xml:space="preserve"> experience in municipal securities and broader fixed income markets. Mark began his career as a fixed income </w:t>
      </w:r>
      <w:r w:rsidR="00297F21">
        <w:rPr>
          <w:rFonts w:ascii="bookman old style" w:hAnsi="bookman old style"/>
        </w:rPr>
        <w:t>specialist</w:t>
      </w:r>
      <w:r w:rsidRPr="0011057E">
        <w:rPr>
          <w:rFonts w:ascii="bookman old style" w:hAnsi="bookman old style"/>
        </w:rPr>
        <w:t xml:space="preserve"> for Morgan Stanley Wealth Management. Additionally, he worked as a trading desk credit analyst. </w:t>
      </w:r>
      <w:r w:rsidR="00297F21" w:rsidRPr="00297F21">
        <w:rPr>
          <w:rFonts w:ascii="bookman old style" w:hAnsi="bookman old style"/>
        </w:rPr>
        <w:t>Mark earned his MBA from Columbia University and his BS in International Economics from Georgetown University. He is a member of the Municipal Analysts Group of New York, CFA Institute, and the National Federation of Municipal Analysts.</w:t>
      </w:r>
    </w:p>
    <w:sectPr w:rsidR="00462249" w:rsidRPr="0011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E"/>
    <w:rsid w:val="0011057E"/>
    <w:rsid w:val="00297F21"/>
    <w:rsid w:val="00462249"/>
    <w:rsid w:val="005800E4"/>
    <w:rsid w:val="007C77F2"/>
    <w:rsid w:val="00AF401D"/>
    <w:rsid w:val="00B273BC"/>
    <w:rsid w:val="00B75524"/>
    <w:rsid w:val="00E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40C13"/>
  <w15:chartTrackingRefBased/>
  <w15:docId w15:val="{C0CDDBF2-8681-8746-9095-5FA862F4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Tessler</dc:creator>
  <cp:keywords/>
  <dc:description/>
  <cp:lastModifiedBy>Bonnie Tessler</cp:lastModifiedBy>
  <cp:revision>2</cp:revision>
  <dcterms:created xsi:type="dcterms:W3CDTF">2025-01-23T21:37:00Z</dcterms:created>
  <dcterms:modified xsi:type="dcterms:W3CDTF">2025-01-23T21:37:00Z</dcterms:modified>
</cp:coreProperties>
</file>